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附件一</w:t>
      </w:r>
    </w:p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ind w:right="-483" w:rightChars="-230"/>
        <w:jc w:val="center"/>
        <w:rPr>
          <w:rFonts w:hint="default" w:ascii="宋体" w:hAnsi="宋体" w:eastAsiaTheme="minorEastAsia"/>
          <w:b/>
          <w:bCs/>
          <w:spacing w:val="60"/>
          <w:sz w:val="64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神经外科专科护士</w:t>
      </w: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844"/>
        <w:gridCol w:w="639"/>
        <w:gridCol w:w="501"/>
        <w:gridCol w:w="561"/>
        <w:gridCol w:w="877"/>
        <w:gridCol w:w="115"/>
        <w:gridCol w:w="709"/>
        <w:gridCol w:w="61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神经外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科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神经外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神经外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神经外科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神经外</w:t>
            </w: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教育场所：     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专用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不专用       教育场所面积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平方米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 有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 数字视频展示台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 投影屏幕    □ 音响设备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相关检测设备：</w:t>
            </w:r>
            <w:r>
              <w:rPr>
                <w:rFonts w:hint="eastAsia" w:ascii="宋体" w:hAnsi="宋体" w:cs="宋体"/>
                <w:sz w:val="24"/>
              </w:rPr>
              <w:t>□ 无          □有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包括：□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神经内镜系统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显微系统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动力系统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气钻系统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超声导航系统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电生理监测系统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气压治疗仪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排痰仪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颅内压监测仪</w:t>
            </w:r>
            <w:r>
              <w:rPr>
                <w:rFonts w:hint="eastAsia" w:ascii="宋体" w:hAnsi="宋体" w:cs="宋体"/>
                <w:sz w:val="24"/>
              </w:rPr>
              <w:t xml:space="preserve">    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呼吸湿化治疗仪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有创/无创呼吸机</w:t>
            </w:r>
            <w:r>
              <w:rPr>
                <w:rFonts w:hint="eastAsia" w:ascii="宋体" w:hAnsi="宋体" w:cs="宋体"/>
                <w:sz w:val="24"/>
              </w:rPr>
              <w:t xml:space="preserve"> 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康复治疗系统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专业藏书：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□无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人才配备：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科室本科及以上学历护士占护士总数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after="312" w:afterLines="10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护理教学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single"/>
              </w:rPr>
              <w:t>核心团队成员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人，其中：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人，本科学历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主管护师人数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>
            <w:pPr>
              <w:spacing w:after="312" w:afterLines="100"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专科护士人数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神经外科相关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专科护士：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(※提供证明）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pStyle w:val="5"/>
              <w:spacing w:line="276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8100" w:firstLineChars="4500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(※提供近3年培训和培养下级单位进修护士证明）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培训人数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(※提供办班文件、照片等相关证明）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1.相关专科基地培训：</w:t>
            </w:r>
            <w:r>
              <w:rPr>
                <w:rFonts w:hint="eastAsia" w:ascii="宋体" w:hAnsi="宋体" w:cs="宋体"/>
                <w:sz w:val="24"/>
              </w:rPr>
              <w:t>□无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(※提供证明）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2.业务水平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（1）202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相关专科收治病种和例数（按顺序罗列至少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（2）202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sz w:val="24"/>
              </w:rPr>
              <w:t>相关疾病的手术种类及例数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脑血管</w:t>
            </w:r>
            <w:r>
              <w:rPr>
                <w:rFonts w:hint="eastAsia" w:ascii="宋体" w:hAnsi="宋体" w:cs="宋体"/>
                <w:sz w:val="24"/>
              </w:rPr>
              <w:t>介入手术例数：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脑肿瘤</w:t>
            </w:r>
            <w:r>
              <w:rPr>
                <w:rFonts w:hint="eastAsia" w:ascii="宋体" w:hAnsi="宋体" w:cs="宋体"/>
                <w:kern w:val="0"/>
                <w:sz w:val="24"/>
              </w:rPr>
              <w:t>手术例数：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脑积水分流手术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（3）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相关专科护理疑难病例会诊   </w:t>
            </w:r>
          </w:p>
          <w:p>
            <w:pPr>
              <w:spacing w:line="360" w:lineRule="auto"/>
              <w:ind w:firstLine="235" w:firstLineChars="98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   □ 有；  □院内会诊      □院外会诊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（4）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相关辅助科室 </w:t>
            </w:r>
          </w:p>
          <w:p>
            <w:pPr>
              <w:spacing w:line="360" w:lineRule="auto"/>
              <w:ind w:firstLine="235" w:firstLineChars="98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康复科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放射科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□超声科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□核医学科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神经内科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（5）202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年开展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b/>
                <w:sz w:val="24"/>
              </w:rPr>
              <w:t>专科护理技术种类及例数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①脑室外引流管护理，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②腰大池引流管护理，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③硬膜下引流管护理，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④人工气道护理，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⑤</w:t>
            </w:r>
            <w:r>
              <w:rPr>
                <w:rFonts w:hint="eastAsia" w:ascii="宋体" w:hAnsi="宋体" w:cs="宋体"/>
                <w:sz w:val="24"/>
              </w:rPr>
              <w:t>吞咽障碍评估，例数：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Cambria Math" w:hAnsi="Cambria Math" w:cs="宋体"/>
                <w:sz w:val="24"/>
                <w:lang w:val="en-US" w:eastAsia="zh-CN"/>
              </w:rPr>
              <w:t>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营养风险筛查与评估，例数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mbria Math" w:hAnsi="Cambria Math" w:cs="宋体"/>
                <w:sz w:val="24"/>
                <w:lang w:val="en-US" w:eastAsia="zh-CN"/>
              </w:rPr>
              <w:t>⑦</w:t>
            </w:r>
            <w:r>
              <w:rPr>
                <w:rFonts w:hint="eastAsia" w:ascii="宋体" w:hAnsi="宋体" w:cs="宋体"/>
                <w:sz w:val="24"/>
              </w:rPr>
              <w:t>DVT规范化预防，例数：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⑧</w:t>
            </w:r>
            <w:r>
              <w:rPr>
                <w:rFonts w:hint="eastAsia" w:ascii="Cambria Math" w:hAnsi="Cambria Math" w:cs="宋体"/>
                <w:sz w:val="24"/>
                <w:lang w:eastAsia="ja-JP"/>
              </w:rPr>
              <w:t>皮下注射</w:t>
            </w:r>
            <w:r>
              <w:rPr>
                <w:rFonts w:hint="eastAsia" w:ascii="Cambria Math" w:hAnsi="Cambria Math" w:cs="宋体"/>
                <w:sz w:val="24"/>
                <w:lang w:val="en-US" w:eastAsia="zh-CN"/>
              </w:rPr>
              <w:t>抗凝剂</w:t>
            </w:r>
            <w:r>
              <w:rPr>
                <w:rFonts w:hint="eastAsia" w:ascii="Cambria Math" w:hAnsi="Cambria Math" w:cs="宋体"/>
                <w:sz w:val="24"/>
                <w:lang w:eastAsia="ja-JP"/>
              </w:rPr>
              <w:t>规范化护理</w:t>
            </w:r>
            <w:r>
              <w:rPr>
                <w:rFonts w:hint="eastAsia" w:ascii="宋体" w:hAnsi="宋体" w:cs="宋体"/>
                <w:sz w:val="24"/>
              </w:rPr>
              <w:t>，例数：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⑨</w:t>
            </w:r>
            <w:r>
              <w:rPr>
                <w:rFonts w:hint="eastAsia" w:ascii="Cambria Math" w:hAnsi="Cambria Math" w:cs="宋体"/>
                <w:sz w:val="24"/>
              </w:rPr>
              <w:t>股动脉穿刺口的护理，例数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⑩PICC置管护理，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bookmarkStart w:id="0" w:name="_GoBack"/>
            <w:bookmarkEnd w:id="0"/>
          </w:p>
          <w:p>
            <w:pPr>
              <w:spacing w:line="360" w:lineRule="auto"/>
              <w:ind w:left="283" w:leftChars="135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Cambria Math" w:hAnsi="Cambria Math" w:cs="宋体"/>
                <w:sz w:val="24"/>
                <w:lang w:eastAsia="ja-JP"/>
              </w:rPr>
              <w:t>⑪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鼻肠管护理，例数：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3.相关专科科研能力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篇；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</w:p>
          <w:p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（2）近3年获得的立项课题: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万元；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（3）近3年获得的科研成果: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（4）近3年获得的专利: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其中发明专利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项；实用新型专利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神经外科</w:t>
            </w:r>
            <w:r>
              <w:rPr>
                <w:rFonts w:hint="eastAsia" w:ascii="宋体" w:hAnsi="宋体" w:cs="宋体"/>
                <w:sz w:val="24"/>
              </w:rPr>
              <w:t>相关著作：主编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部；副主编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部；参编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部；                   </w:t>
            </w:r>
          </w:p>
          <w:p>
            <w:pPr>
              <w:spacing w:line="360" w:lineRule="exact"/>
              <w:jc w:val="righ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/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Y2RmNjJmOTQyNTI2ODRmYzE5MmMwZmRlYjQwMTkifQ=="/>
  </w:docVars>
  <w:rsids>
    <w:rsidRoot w:val="7B247C0D"/>
    <w:rsid w:val="04B629FE"/>
    <w:rsid w:val="06C60C2E"/>
    <w:rsid w:val="1AD376FC"/>
    <w:rsid w:val="1F611AB1"/>
    <w:rsid w:val="2BAE0733"/>
    <w:rsid w:val="4F820F5D"/>
    <w:rsid w:val="5C0A08F7"/>
    <w:rsid w:val="694B718D"/>
    <w:rsid w:val="7490208A"/>
    <w:rsid w:val="75FA2D4B"/>
    <w:rsid w:val="7B24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1968</Words>
  <Characters>2038</Characters>
  <Lines>0</Lines>
  <Paragraphs>0</Paragraphs>
  <TotalTime>0</TotalTime>
  <ScaleCrop>false</ScaleCrop>
  <LinksUpToDate>false</LinksUpToDate>
  <CharactersWithSpaces>3917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Liu玉霞</cp:lastModifiedBy>
  <dcterms:modified xsi:type="dcterms:W3CDTF">2023-03-25T02:06:46Z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C349B98BAE6B457684BE10779396C3AB</vt:lpwstr>
  </property>
</Properties>
</file>